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психологической диагностики</w:t>
            </w:r>
          </w:p>
          <w:p>
            <w:pPr>
              <w:jc w:val="center"/>
              <w:spacing w:after="0" w:line="240" w:lineRule="auto"/>
              <w:rPr>
                <w:sz w:val="32"/>
                <w:szCs w:val="32"/>
              </w:rPr>
            </w:pPr>
            <w:r>
              <w:rPr>
                <w:rFonts w:ascii="Times New Roman" w:hAnsi="Times New Roman" w:cs="Times New Roman"/>
                <w:color w:val="#000000"/>
                <w:sz w:val="32"/>
                <w:szCs w:val="32"/>
              </w:rPr>
              <w:t> нарушений развития у детей</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к.псх.н.,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психологической диагностики</w:t>
            </w:r>
          </w:p>
          <w:p>
            <w:pPr>
              <w:jc w:val="both"/>
              <w:spacing w:after="0" w:line="240" w:lineRule="auto"/>
              <w:rPr>
                <w:sz w:val="24"/>
                <w:szCs w:val="24"/>
              </w:rPr>
            </w:pPr>
            <w:r>
              <w:rPr>
                <w:rFonts w:ascii="Times New Roman" w:hAnsi="Times New Roman" w:cs="Times New Roman"/>
                <w:color w:val="#000000"/>
                <w:sz w:val="24"/>
                <w:szCs w:val="24"/>
              </w:rPr>
              <w:t> нарушений развития у детей»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«Методы психологической диагностики</w:t>
            </w:r>
          </w:p>
          <w:p>
            <w:pPr>
              <w:jc w:val="left"/>
              <w:spacing w:after="0" w:line="240" w:lineRule="auto"/>
              <w:rPr>
                <w:sz w:val="24"/>
                <w:szCs w:val="24"/>
              </w:rPr>
            </w:pPr>
            <w:r>
              <w:rPr>
                <w:rFonts w:ascii="Times New Roman" w:hAnsi="Times New Roman" w:cs="Times New Roman"/>
                <w:b/>
                <w:color w:val="#000000"/>
                <w:sz w:val="24"/>
                <w:szCs w:val="24"/>
              </w:rPr>
              <w:t> нарушений развития у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психологической диагностики</w:t>
            </w:r>
          </w:p>
          <w:p>
            <w:pPr>
              <w:jc w:val="both"/>
              <w:spacing w:after="0" w:line="240" w:lineRule="auto"/>
              <w:rPr>
                <w:sz w:val="24"/>
                <w:szCs w:val="24"/>
              </w:rPr>
            </w:pPr>
            <w:r>
              <w:rPr>
                <w:rFonts w:ascii="Times New Roman" w:hAnsi="Times New Roman" w:cs="Times New Roman"/>
                <w:color w:val="#000000"/>
                <w:sz w:val="24"/>
                <w:szCs w:val="24"/>
              </w:rPr>
              <w:t> нарушений развития у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адекватный  инструментарий  и методы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умением  применять  разнообразных методов  контроля  и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психолого-педагогического  обследования, определять  показатели  развития  ребенка, отбирать  и/или  разрабатывать инструментарий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психолого-педагогическое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коррекционной работы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«Методы психологической диагностики</w:t>
            </w:r>
          </w:p>
          <w:p>
            <w:pPr>
              <w:jc w:val="both"/>
              <w:spacing w:after="0" w:line="240" w:lineRule="auto"/>
              <w:rPr>
                <w:sz w:val="24"/>
                <w:szCs w:val="24"/>
              </w:rPr>
            </w:pPr>
            <w:r>
              <w:rPr>
                <w:rFonts w:ascii="Times New Roman" w:hAnsi="Times New Roman" w:cs="Times New Roman"/>
                <w:color w:val="#000000"/>
                <w:sz w:val="24"/>
                <w:szCs w:val="24"/>
              </w:rPr>
              <w:t> нарушений развития у детей»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w:t>
            </w:r>
          </w:p>
          <w:p>
            <w:pPr>
              <w:jc w:val="center"/>
              <w:spacing w:after="0" w:line="240" w:lineRule="auto"/>
              <w:rPr>
                <w:sz w:val="22"/>
                <w:szCs w:val="22"/>
              </w:rPr>
            </w:pPr>
            <w:r>
              <w:rPr>
                <w:rFonts w:ascii="Times New Roman" w:hAnsi="Times New Roman" w:cs="Times New Roman"/>
                <w:color w:val="#000000"/>
                <w:sz w:val="22"/>
                <w:szCs w:val="22"/>
              </w:rPr>
              <w:t> слуха, речи и зрения</w:t>
            </w:r>
          </w:p>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 дефектолога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18.829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психолого – педагогическую диагностику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Дифференциальная диагностика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детей с отклонением в развитии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психолого – педагогическую диагностику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Дифференциальная диагностика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детей с отклонением в развитии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333.0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психолого – педагогическую диагностику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курса. Связь  курса с другими дисциплинами. Ключевые понятия курса. Современные представления о нарушениях развития детей. Понятие  «нарушение в развитии».  Современная классификация нарушений в развитии.</w:t>
            </w:r>
          </w:p>
          <w:p>
            <w:pPr>
              <w:jc w:val="both"/>
              <w:spacing w:after="0" w:line="240" w:lineRule="auto"/>
              <w:rPr>
                <w:sz w:val="24"/>
                <w:szCs w:val="24"/>
              </w:rPr>
            </w:pPr>
            <w:r>
              <w:rPr>
                <w:rFonts w:ascii="Times New Roman" w:hAnsi="Times New Roman" w:cs="Times New Roman"/>
                <w:color w:val="#000000"/>
                <w:sz w:val="24"/>
                <w:szCs w:val="24"/>
              </w:rPr>
              <w:t> Предпосылки  зарождения и становления психолого-педагогической диагностики. Первые исследователи психолого-педагогических особенностей детей с нарушениями в развитии за рубежом и в России. Развитие диагностики  на современном этапе, проблемы и задачи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детей с нарушениями развития</w:t>
            </w:r>
          </w:p>
        </w:tc>
      </w:tr>
      <w:tr>
        <w:trPr>
          <w:trHeight w:hRule="exact" w:val="1404.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«диагностический метод».</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методов диагностики: тестирование, наблюдение, опрос, беседа, эксперимент. Дополнительные методы — анализ документации, беседа, тестирование, анализ продуктов деятельности ребенка. Методы экспериментального изучения, психолого-педагогический эксперимент. Обучающий эксперимент.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Экспериментально-психологические методики изучения познавательной деятельности и личности. Нейропсихологическое изучение детей с ОВЗ. Проективные методы в изучении детей с ОВЗ (Рисуночные тесты: их место в изучении ребенка с отклонениями в развитии). Методы изучения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Дифференциальная диагностика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Дизонтогенез. Понятие «дизонтогенез». Понятие «сходные состояния», «Дифференциально-диагностические критерии». Значение дифференциальной диагностики для выстраивания индивидуального маршрута развития детей с ОВЗ. Особенности дифференциального диагноза при интеллектуальных, речевых, сенсорных, двигательных нарушениях, при сложных (комплексных) дефектах. Отграничение умственной отсталости от сходных состояний как важнейшая задача дифференциальной диагностики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детей с отклонением в развитии на разных возрастных этапах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изучение  детей первого года жизни. Психолого- педагогическое изучение  раннего возраста. Психолого-педагогическое изучение  детей дошкольного возраста. Психолого-педагогическое изучение  детей младшего школьного возраста. Психолого-педагогическое изучение детей подросткового возраста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Обследование детей с нарушениями слуха, зрения, опорно-двигательного аппарата, с ранним детским аутизмом (нарушения эмоционально-волевой сферы), с нарушением интеллекта, со сложными нарушениями в развитии. Особенности обследования детей каждой категории. Схема обследования. Составление заключения по результатам психолого-педагогического исследования ребенка. Понятие «заключение». Анализ диагностических данных.</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психолого – педагогическую диагностику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Состояние дифференциальной диагностики в области изучения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Дифференциальная диагностика в изучении детей с нарушениями в развитии Влияние стресса на организм человека (физиологический аспект).</w:t>
            </w:r>
          </w:p>
          <w:p>
            <w:pPr>
              <w:jc w:val="both"/>
              <w:spacing w:after="0" w:line="240" w:lineRule="auto"/>
              <w:rPr>
                <w:sz w:val="24"/>
                <w:szCs w:val="24"/>
              </w:rPr>
            </w:pPr>
            <w:r>
              <w:rPr>
                <w:rFonts w:ascii="Times New Roman" w:hAnsi="Times New Roman" w:cs="Times New Roman"/>
                <w:color w:val="#000000"/>
                <w:sz w:val="24"/>
                <w:szCs w:val="24"/>
              </w:rPr>
              <w:t> 3.	Психологический диагноз и причины диагностических ошибок</w:t>
            </w:r>
          </w:p>
          <w:p>
            <w:pPr>
              <w:jc w:val="both"/>
              <w:spacing w:after="0" w:line="240" w:lineRule="auto"/>
              <w:rPr>
                <w:sz w:val="24"/>
                <w:szCs w:val="24"/>
              </w:rPr>
            </w:pPr>
            <w:r>
              <w:rPr>
                <w:rFonts w:ascii="Times New Roman" w:hAnsi="Times New Roman" w:cs="Times New Roman"/>
                <w:color w:val="#000000"/>
                <w:sz w:val="24"/>
                <w:szCs w:val="24"/>
              </w:rPr>
              <w:t> 4.	Что такое «сходные состояния», «дифференциально-диагностические критерии»</w:t>
            </w:r>
          </w:p>
          <w:p>
            <w:pPr>
              <w:jc w:val="both"/>
              <w:spacing w:after="0" w:line="240" w:lineRule="auto"/>
              <w:rPr>
                <w:sz w:val="24"/>
                <w:szCs w:val="24"/>
              </w:rPr>
            </w:pPr>
            <w:r>
              <w:rPr>
                <w:rFonts w:ascii="Times New Roman" w:hAnsi="Times New Roman" w:cs="Times New Roman"/>
                <w:color w:val="#000000"/>
                <w:sz w:val="24"/>
                <w:szCs w:val="24"/>
              </w:rPr>
              <w:t> 5.	Особенности проведения психолого-педагогического обследования детей с ОВЗ существуют в условиях инклюзивного и специального образования?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детей с нарушениями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коррекция.</w:t>
            </w:r>
          </w:p>
          <w:p>
            <w:pPr>
              <w:jc w:val="both"/>
              <w:spacing w:after="0" w:line="240" w:lineRule="auto"/>
              <w:rPr>
                <w:sz w:val="24"/>
                <w:szCs w:val="24"/>
              </w:rPr>
            </w:pPr>
            <w:r>
              <w:rPr>
                <w:rFonts w:ascii="Times New Roman" w:hAnsi="Times New Roman" w:cs="Times New Roman"/>
                <w:color w:val="#000000"/>
                <w:sz w:val="24"/>
                <w:szCs w:val="24"/>
              </w:rPr>
              <w:t> 2.Признаки корреционности психодиагностических методик.</w:t>
            </w:r>
          </w:p>
          <w:p>
            <w:pPr>
              <w:jc w:val="both"/>
              <w:spacing w:after="0" w:line="240" w:lineRule="auto"/>
              <w:rPr>
                <w:sz w:val="24"/>
                <w:szCs w:val="24"/>
              </w:rPr>
            </w:pPr>
            <w:r>
              <w:rPr>
                <w:rFonts w:ascii="Times New Roman" w:hAnsi="Times New Roman" w:cs="Times New Roman"/>
                <w:color w:val="#000000"/>
                <w:sz w:val="24"/>
                <w:szCs w:val="24"/>
              </w:rPr>
              <w:t> 3.Основные признаки коррекционности программ.</w:t>
            </w:r>
          </w:p>
          <w:p>
            <w:pPr>
              <w:jc w:val="both"/>
              <w:spacing w:after="0" w:line="240" w:lineRule="auto"/>
              <w:rPr>
                <w:sz w:val="24"/>
                <w:szCs w:val="24"/>
              </w:rPr>
            </w:pPr>
            <w:r>
              <w:rPr>
                <w:rFonts w:ascii="Times New Roman" w:hAnsi="Times New Roman" w:cs="Times New Roman"/>
                <w:color w:val="#000000"/>
                <w:sz w:val="24"/>
                <w:szCs w:val="24"/>
              </w:rPr>
              <w:t> 4.Экспериментальная проверка коррекционности программ.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Дифференциальная диагностика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1.Составьте правила использования рисуночных тестов.</w:t>
            </w:r>
          </w:p>
          <w:p>
            <w:pPr>
              <w:jc w:val="both"/>
              <w:spacing w:after="0" w:line="240" w:lineRule="auto"/>
              <w:rPr>
                <w:sz w:val="24"/>
                <w:szCs w:val="24"/>
              </w:rPr>
            </w:pPr>
            <w:r>
              <w:rPr>
                <w:rFonts w:ascii="Times New Roman" w:hAnsi="Times New Roman" w:cs="Times New Roman"/>
                <w:color w:val="#000000"/>
                <w:sz w:val="24"/>
                <w:szCs w:val="24"/>
              </w:rPr>
              <w:t> 2.Составьте инструкцию для анализа и интерпретации рисунка «Несуществующее животное».</w:t>
            </w:r>
          </w:p>
          <w:p>
            <w:pPr>
              <w:jc w:val="both"/>
              <w:spacing w:after="0" w:line="240" w:lineRule="auto"/>
              <w:rPr>
                <w:sz w:val="24"/>
                <w:szCs w:val="24"/>
              </w:rPr>
            </w:pPr>
            <w:r>
              <w:rPr>
                <w:rFonts w:ascii="Times New Roman" w:hAnsi="Times New Roman" w:cs="Times New Roman"/>
                <w:color w:val="#000000"/>
                <w:sz w:val="24"/>
                <w:szCs w:val="24"/>
              </w:rPr>
              <w:t> 3.Перечислите учебные ситуации и возможности дифференциации учащихся, различающихся по силе и лабильности нервной системы.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детей с отклонением в развитии на разных возрастных этапах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1.Методические проблемы диагностики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3.Опросники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4.Диагностика состояний тревожности.</w:t>
            </w:r>
          </w:p>
          <w:p>
            <w:pPr>
              <w:jc w:val="both"/>
              <w:spacing w:after="0" w:line="240" w:lineRule="auto"/>
              <w:rPr>
                <w:sz w:val="24"/>
                <w:szCs w:val="24"/>
              </w:rPr>
            </w:pPr>
            <w:r>
              <w:rPr>
                <w:rFonts w:ascii="Times New Roman" w:hAnsi="Times New Roman" w:cs="Times New Roman"/>
                <w:color w:val="#000000"/>
                <w:sz w:val="24"/>
                <w:szCs w:val="24"/>
              </w:rPr>
              <w:t> 5.Поективные методики. Характеристика, области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r>
      <w:tr>
        <w:trPr>
          <w:trHeight w:hRule="exact" w:val="3801.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Психологическое изучение детей с нарушениями развития: метод наблюдения, беседы, опроса педагогов, экспериментального изучения ребёнка, диагностический инструментарий, тесты, проективные методики</w:t>
            </w:r>
          </w:p>
          <w:p>
            <w:pPr>
              <w:jc w:val="both"/>
              <w:spacing w:after="0" w:line="240" w:lineRule="auto"/>
              <w:rPr>
                <w:sz w:val="24"/>
                <w:szCs w:val="24"/>
              </w:rPr>
            </w:pPr>
            <w:r>
              <w:rPr>
                <w:rFonts w:ascii="Times New Roman" w:hAnsi="Times New Roman" w:cs="Times New Roman"/>
                <w:color w:val="#000000"/>
                <w:sz w:val="24"/>
                <w:szCs w:val="24"/>
              </w:rPr>
              <w:t> 2. Выберите и обведите кружочком критерии, которые следует учитывать при оценке готовности ребенка к школьному обучению (1):</w:t>
            </w:r>
          </w:p>
          <w:p>
            <w:pPr>
              <w:jc w:val="both"/>
              <w:spacing w:after="0" w:line="240" w:lineRule="auto"/>
              <w:rPr>
                <w:sz w:val="24"/>
                <w:szCs w:val="24"/>
              </w:rPr>
            </w:pPr>
            <w:r>
              <w:rPr>
                <w:rFonts w:ascii="Times New Roman" w:hAnsi="Times New Roman" w:cs="Times New Roman"/>
                <w:color w:val="#000000"/>
                <w:sz w:val="24"/>
                <w:szCs w:val="24"/>
              </w:rPr>
              <w:t> 1. Рост</w:t>
            </w:r>
          </w:p>
          <w:p>
            <w:pPr>
              <w:jc w:val="both"/>
              <w:spacing w:after="0" w:line="240" w:lineRule="auto"/>
              <w:rPr>
                <w:sz w:val="24"/>
                <w:szCs w:val="24"/>
              </w:rPr>
            </w:pPr>
            <w:r>
              <w:rPr>
                <w:rFonts w:ascii="Times New Roman" w:hAnsi="Times New Roman" w:cs="Times New Roman"/>
                <w:color w:val="#000000"/>
                <w:sz w:val="24"/>
                <w:szCs w:val="24"/>
              </w:rPr>
              <w:t> 2. Соматическое состояние (здоровье)</w:t>
            </w:r>
          </w:p>
          <w:p>
            <w:pPr>
              <w:jc w:val="both"/>
              <w:spacing w:after="0" w:line="240" w:lineRule="auto"/>
              <w:rPr>
                <w:sz w:val="24"/>
                <w:szCs w:val="24"/>
              </w:rPr>
            </w:pPr>
            <w:r>
              <w:rPr>
                <w:rFonts w:ascii="Times New Roman" w:hAnsi="Times New Roman" w:cs="Times New Roman"/>
                <w:color w:val="#000000"/>
                <w:sz w:val="24"/>
                <w:szCs w:val="24"/>
              </w:rPr>
              <w:t> 3. Состояние моторики</w:t>
            </w:r>
          </w:p>
          <w:p>
            <w:pPr>
              <w:jc w:val="both"/>
              <w:spacing w:after="0" w:line="240" w:lineRule="auto"/>
              <w:rPr>
                <w:sz w:val="24"/>
                <w:szCs w:val="24"/>
              </w:rPr>
            </w:pPr>
            <w:r>
              <w:rPr>
                <w:rFonts w:ascii="Times New Roman" w:hAnsi="Times New Roman" w:cs="Times New Roman"/>
                <w:color w:val="#000000"/>
                <w:sz w:val="24"/>
                <w:szCs w:val="24"/>
              </w:rPr>
              <w:t> 4. Умение читать, считать</w:t>
            </w:r>
          </w:p>
          <w:p>
            <w:pPr>
              <w:jc w:val="both"/>
              <w:spacing w:after="0" w:line="240" w:lineRule="auto"/>
              <w:rPr>
                <w:sz w:val="24"/>
                <w:szCs w:val="24"/>
              </w:rPr>
            </w:pPr>
            <w:r>
              <w:rPr>
                <w:rFonts w:ascii="Times New Roman" w:hAnsi="Times New Roman" w:cs="Times New Roman"/>
                <w:color w:val="#000000"/>
                <w:sz w:val="24"/>
                <w:szCs w:val="24"/>
              </w:rPr>
              <w:t> 5. Пространственная ориентировка</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зрелость</w:t>
            </w:r>
          </w:p>
          <w:p>
            <w:pPr>
              <w:jc w:val="both"/>
              <w:spacing w:after="0" w:line="240" w:lineRule="auto"/>
              <w:rPr>
                <w:sz w:val="24"/>
                <w:szCs w:val="24"/>
              </w:rPr>
            </w:pPr>
            <w:r>
              <w:rPr>
                <w:rFonts w:ascii="Times New Roman" w:hAnsi="Times New Roman" w:cs="Times New Roman"/>
                <w:color w:val="#000000"/>
                <w:sz w:val="24"/>
                <w:szCs w:val="24"/>
              </w:rPr>
              <w:t> 7. Пребывание в дошкольном учреждении</w:t>
            </w:r>
          </w:p>
          <w:p>
            <w:pPr>
              <w:jc w:val="both"/>
              <w:spacing w:after="0" w:line="240" w:lineRule="auto"/>
              <w:rPr>
                <w:sz w:val="24"/>
                <w:szCs w:val="24"/>
              </w:rPr>
            </w:pPr>
            <w:r>
              <w:rPr>
                <w:rFonts w:ascii="Times New Roman" w:hAnsi="Times New Roman" w:cs="Times New Roman"/>
                <w:color w:val="#000000"/>
                <w:sz w:val="24"/>
                <w:szCs w:val="24"/>
              </w:rPr>
              <w:t> 8. Сформированность навыков общения</w:t>
            </w:r>
          </w:p>
          <w:p>
            <w:pPr>
              <w:jc w:val="both"/>
              <w:spacing w:after="0" w:line="240" w:lineRule="auto"/>
              <w:rPr>
                <w:sz w:val="24"/>
                <w:szCs w:val="24"/>
              </w:rPr>
            </w:pPr>
            <w:r>
              <w:rPr>
                <w:rFonts w:ascii="Times New Roman" w:hAnsi="Times New Roman" w:cs="Times New Roman"/>
                <w:color w:val="#000000"/>
                <w:sz w:val="24"/>
                <w:szCs w:val="24"/>
              </w:rPr>
              <w:t> 9. Наличие учебной мотивации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психологической диагностики</w:t>
            </w:r>
          </w:p>
          <w:p>
            <w:pPr>
              <w:jc w:val="left"/>
              <w:spacing w:after="0" w:line="240" w:lineRule="auto"/>
              <w:rPr>
                <w:sz w:val="24"/>
                <w:szCs w:val="24"/>
              </w:rPr>
            </w:pPr>
            <w:r>
              <w:rPr>
                <w:rFonts w:ascii="Times New Roman" w:hAnsi="Times New Roman" w:cs="Times New Roman"/>
                <w:color w:val="#000000"/>
                <w:sz w:val="24"/>
                <w:szCs w:val="24"/>
              </w:rPr>
              <w:t> нарушений развития у детей»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умственного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https://urait.ru/bcode/432214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Бардышевская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https://urait.ru/bcode/429984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диагностике</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детском</w:t>
            </w:r>
            <w:r>
              <w:rPr/>
              <w:t xml:space="preserve"> </w:t>
            </w:r>
            <w:r>
              <w:rPr>
                <w:rFonts w:ascii="Times New Roman" w:hAnsi="Times New Roman" w:cs="Times New Roman"/>
                <w:color w:val="#000000"/>
                <w:sz w:val="24"/>
                <w:szCs w:val="24"/>
              </w:rPr>
              <w:t>возрасте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https://urait.ru/bcode/441308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85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2023-2024_ФГОС3++2023_Бак-ОФО-СДО(Олигоф)(23)_plx_Методы психологической диагностики  нарушений развития у детей</dc:title>
  <dc:creator>FastReport.NET</dc:creator>
</cp:coreProperties>
</file>